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14" w:line="311" w:lineRule="auto"/>
        <w:ind w:left="3655" w:right="43" w:hanging="3450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郎溪</w:t>
      </w:r>
      <w:r>
        <w:rPr>
          <w:rFonts w:ascii="仿宋" w:hAnsi="仿宋" w:eastAsia="仿宋" w:cs="仿宋"/>
          <w:spacing w:val="-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县</w:t>
      </w:r>
      <w:r>
        <w:rPr>
          <w:rFonts w:ascii="仿宋" w:hAnsi="仿宋" w:eastAsia="仿宋" w:cs="仿宋"/>
          <w:spacing w:val="-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纪委</w:t>
      </w:r>
      <w:r>
        <w:rPr>
          <w:rFonts w:ascii="仿宋" w:hAnsi="仿宋" w:eastAsia="仿宋" w:cs="仿宋"/>
          <w:spacing w:val="-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2021</w:t>
      </w:r>
      <w:r>
        <w:rPr>
          <w:rFonts w:ascii="宋体" w:hAnsi="宋体" w:eastAsia="宋体" w:cs="宋体"/>
          <w:spacing w:val="-3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年度一般公共预算财政拨款</w:t>
      </w:r>
      <w:r>
        <w:rPr>
          <w:rFonts w:ascii="宋体" w:hAnsi="宋体" w:eastAsia="宋体" w:cs="宋体"/>
          <w:spacing w:val="-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“</w:t>
      </w:r>
      <w:r>
        <w:rPr>
          <w:rFonts w:ascii="仿宋" w:hAnsi="仿宋" w:eastAsia="仿宋" w:cs="仿宋"/>
          <w:spacing w:val="-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三公”经</w:t>
      </w:r>
      <w:r>
        <w:rPr>
          <w:rFonts w:ascii="仿宋" w:hAnsi="仿宋" w:eastAsia="仿宋" w:cs="仿宋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费支出</w:t>
      </w:r>
      <w:r>
        <w:rPr>
          <w:rFonts w:ascii="仿宋" w:hAnsi="仿宋" w:eastAsia="仿宋" w:cs="仿宋"/>
          <w:spacing w:val="-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决算</w:t>
      </w: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101" w:line="339" w:lineRule="auto"/>
        <w:ind w:left="131" w:firstLine="6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一、20</w:t>
      </w:r>
      <w:r>
        <w:rPr>
          <w:rFonts w:ascii="黑体" w:hAnsi="黑体" w:eastAsia="黑体" w:cs="黑体"/>
          <w:spacing w:val="-2"/>
          <w:sz w:val="31"/>
          <w:szCs w:val="31"/>
        </w:rPr>
        <w:t>21 年度一般公共预算财政拨款“三公”经费支出决算</w:t>
      </w:r>
      <w:r>
        <w:rPr>
          <w:rFonts w:ascii="黑体" w:hAnsi="黑体" w:eastAsia="黑体" w:cs="黑体"/>
          <w:sz w:val="31"/>
          <w:szCs w:val="31"/>
        </w:rPr>
        <w:t xml:space="preserve"> 表</w:t>
      </w:r>
    </w:p>
    <w:p>
      <w:pPr>
        <w:spacing w:line="221" w:lineRule="auto"/>
        <w:ind w:right="7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单位：万</w:t>
      </w:r>
      <w:r>
        <w:rPr>
          <w:rFonts w:ascii="仿宋" w:hAnsi="仿宋" w:eastAsia="仿宋" w:cs="仿宋"/>
          <w:sz w:val="31"/>
          <w:szCs w:val="31"/>
        </w:rPr>
        <w:t>元</w:t>
      </w:r>
    </w:p>
    <w:p/>
    <w:p/>
    <w:p>
      <w:pPr>
        <w:spacing w:line="42" w:lineRule="exact"/>
      </w:pPr>
    </w:p>
    <w:tbl>
      <w:tblPr>
        <w:tblStyle w:val="4"/>
        <w:tblW w:w="87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81"/>
        <w:gridCol w:w="2156"/>
        <w:gridCol w:w="22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381" w:type="dxa"/>
            <w:vAlign w:val="top"/>
          </w:tcPr>
          <w:p>
            <w:pPr>
              <w:spacing w:before="56" w:line="219" w:lineRule="auto"/>
              <w:ind w:left="173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6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仿宋" w:hAnsi="仿宋" w:eastAsia="仿宋" w:cs="仿宋"/>
                <w:spacing w:val="16"/>
                <w:sz w:val="31"/>
                <w:szCs w:val="31"/>
              </w:rPr>
              <w:t xml:space="preserve">  </w:t>
            </w:r>
            <w:r>
              <w:rPr>
                <w:rFonts w:ascii="仿宋" w:hAnsi="仿宋" w:eastAsia="仿宋" w:cs="仿宋"/>
                <w:spacing w:val="16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</w:p>
        </w:tc>
        <w:tc>
          <w:tcPr>
            <w:tcW w:w="2156" w:type="dxa"/>
            <w:vAlign w:val="top"/>
          </w:tcPr>
          <w:p>
            <w:pPr>
              <w:spacing w:before="56" w:line="219" w:lineRule="auto"/>
              <w:ind w:left="47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</w:t>
            </w: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算</w:t>
            </w: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</w:t>
            </w:r>
          </w:p>
        </w:tc>
        <w:tc>
          <w:tcPr>
            <w:tcW w:w="2223" w:type="dxa"/>
            <w:vAlign w:val="top"/>
          </w:tcPr>
          <w:p>
            <w:pPr>
              <w:spacing w:before="56" w:line="219" w:lineRule="auto"/>
              <w:ind w:left="49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</w:t>
            </w: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算</w:t>
            </w: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381" w:type="dxa"/>
            <w:vAlign w:val="top"/>
          </w:tcPr>
          <w:p>
            <w:pPr>
              <w:spacing w:before="51" w:line="219" w:lineRule="auto"/>
              <w:ind w:left="173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</w:t>
            </w: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</w:p>
        </w:tc>
        <w:tc>
          <w:tcPr>
            <w:tcW w:w="2156" w:type="dxa"/>
            <w:vAlign w:val="top"/>
          </w:tcPr>
          <w:p>
            <w:pPr>
              <w:spacing w:before="99" w:line="189" w:lineRule="auto"/>
              <w:ind w:left="71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4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宋体" w:hAnsi="宋体" w:eastAsia="宋体" w:cs="宋体"/>
                <w:spacing w:val="-3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6.76</w:t>
            </w:r>
          </w:p>
        </w:tc>
        <w:tc>
          <w:tcPr>
            <w:tcW w:w="2223" w:type="dxa"/>
            <w:vAlign w:val="top"/>
          </w:tcPr>
          <w:p>
            <w:pPr>
              <w:spacing w:before="101" w:line="188" w:lineRule="auto"/>
              <w:ind w:left="72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28.2</w:t>
            </w:r>
            <w:r>
              <w:rPr>
                <w:rFonts w:ascii="宋体" w:hAnsi="宋体" w:eastAsia="宋体" w:cs="宋体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381" w:type="dxa"/>
            <w:vAlign w:val="top"/>
          </w:tcPr>
          <w:p>
            <w:pPr>
              <w:spacing w:before="52" w:line="218" w:lineRule="auto"/>
              <w:ind w:left="15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"/>
                <w:sz w:val="31"/>
                <w:szCs w:val="31"/>
              </w:rPr>
              <w:t>因公出国 (境)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费</w:t>
            </w:r>
          </w:p>
        </w:tc>
        <w:tc>
          <w:tcPr>
            <w:tcW w:w="2156" w:type="dxa"/>
            <w:vAlign w:val="top"/>
          </w:tcPr>
          <w:p>
            <w:pPr>
              <w:spacing w:before="102" w:line="188" w:lineRule="auto"/>
              <w:ind w:left="43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0</w:t>
            </w:r>
          </w:p>
        </w:tc>
        <w:tc>
          <w:tcPr>
            <w:tcW w:w="2223" w:type="dxa"/>
            <w:vAlign w:val="top"/>
          </w:tcPr>
          <w:p>
            <w:pPr>
              <w:spacing w:before="102" w:line="188" w:lineRule="auto"/>
              <w:ind w:left="433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381" w:type="dxa"/>
            <w:vAlign w:val="top"/>
          </w:tcPr>
          <w:p>
            <w:pPr>
              <w:spacing w:before="52" w:line="218" w:lineRule="auto"/>
              <w:ind w:left="11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公</w:t>
            </w: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务</w:t>
            </w: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接待费</w:t>
            </w:r>
          </w:p>
        </w:tc>
        <w:tc>
          <w:tcPr>
            <w:tcW w:w="2156" w:type="dxa"/>
            <w:vAlign w:val="top"/>
          </w:tcPr>
          <w:p>
            <w:pPr>
              <w:spacing w:before="102" w:line="188" w:lineRule="auto"/>
              <w:ind w:left="43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7.66</w:t>
            </w:r>
          </w:p>
        </w:tc>
        <w:tc>
          <w:tcPr>
            <w:tcW w:w="2223" w:type="dxa"/>
            <w:vAlign w:val="top"/>
          </w:tcPr>
          <w:p>
            <w:pPr>
              <w:spacing w:before="102" w:line="188" w:lineRule="auto"/>
              <w:ind w:left="43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7.</w:t>
            </w: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381" w:type="dxa"/>
            <w:vAlign w:val="top"/>
          </w:tcPr>
          <w:p>
            <w:pPr>
              <w:spacing w:before="54" w:line="217" w:lineRule="auto"/>
              <w:ind w:left="11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公</w:t>
            </w: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务用车购置及运行维护费</w:t>
            </w:r>
          </w:p>
        </w:tc>
        <w:tc>
          <w:tcPr>
            <w:tcW w:w="2156" w:type="dxa"/>
            <w:vAlign w:val="top"/>
          </w:tcPr>
          <w:p>
            <w:pPr>
              <w:spacing w:before="101" w:line="189" w:lineRule="auto"/>
              <w:ind w:left="433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1"/>
                <w:sz w:val="31"/>
                <w:szCs w:val="31"/>
              </w:rPr>
              <w:t>9</w:t>
            </w:r>
            <w:r>
              <w:rPr>
                <w:rFonts w:ascii="宋体" w:hAnsi="宋体" w:eastAsia="宋体" w:cs="宋体"/>
                <w:spacing w:val="9"/>
                <w:sz w:val="31"/>
                <w:szCs w:val="31"/>
              </w:rPr>
              <w:t>.1</w:t>
            </w:r>
          </w:p>
        </w:tc>
        <w:tc>
          <w:tcPr>
            <w:tcW w:w="2223" w:type="dxa"/>
            <w:vAlign w:val="top"/>
          </w:tcPr>
          <w:p>
            <w:pPr>
              <w:spacing w:before="103" w:line="188" w:lineRule="auto"/>
              <w:ind w:left="43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2</w:t>
            </w:r>
            <w:r>
              <w:rPr>
                <w:rFonts w:ascii="宋体" w:hAnsi="宋体" w:eastAsia="宋体" w:cs="宋体"/>
                <w:sz w:val="31"/>
                <w:szCs w:val="31"/>
              </w:rPr>
              <w:t>0.99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381" w:type="dxa"/>
            <w:vAlign w:val="top"/>
          </w:tcPr>
          <w:p>
            <w:pPr>
              <w:spacing w:before="55" w:line="194" w:lineRule="auto"/>
              <w:ind w:left="43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其</w:t>
            </w: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中：公务用车运行维护费</w:t>
            </w:r>
          </w:p>
        </w:tc>
        <w:tc>
          <w:tcPr>
            <w:tcW w:w="2156" w:type="dxa"/>
            <w:vAlign w:val="top"/>
          </w:tcPr>
          <w:p>
            <w:pPr>
              <w:spacing w:before="102" w:line="166" w:lineRule="auto"/>
              <w:ind w:left="433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1"/>
                <w:sz w:val="31"/>
                <w:szCs w:val="31"/>
              </w:rPr>
              <w:t>9</w:t>
            </w:r>
            <w:r>
              <w:rPr>
                <w:rFonts w:hint="eastAsia" w:ascii="宋体" w:hAnsi="宋体" w:eastAsia="宋体" w:cs="宋体"/>
                <w:spacing w:val="11"/>
                <w:sz w:val="31"/>
                <w:szCs w:val="31"/>
                <w:lang w:eastAsia="zh-CN"/>
              </w:rPr>
              <w:t>.</w:t>
            </w:r>
            <w:r>
              <w:rPr>
                <w:rFonts w:ascii="宋体" w:hAnsi="宋体" w:eastAsia="宋体" w:cs="宋体"/>
                <w:spacing w:val="9"/>
                <w:sz w:val="31"/>
                <w:szCs w:val="31"/>
              </w:rPr>
              <w:t>1</w:t>
            </w:r>
          </w:p>
        </w:tc>
        <w:tc>
          <w:tcPr>
            <w:tcW w:w="2223" w:type="dxa"/>
            <w:vAlign w:val="top"/>
          </w:tcPr>
          <w:p>
            <w:pPr>
              <w:spacing w:before="103" w:line="165" w:lineRule="auto"/>
              <w:ind w:left="43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9</w:t>
            </w:r>
            <w:r>
              <w:rPr>
                <w:rFonts w:hint="eastAsia" w:ascii="宋体" w:hAnsi="宋体" w:eastAsia="宋体" w:cs="宋体"/>
                <w:sz w:val="31"/>
                <w:szCs w:val="31"/>
                <w:lang w:eastAsia="zh-CN"/>
              </w:rPr>
              <w:t>.</w:t>
            </w:r>
            <w:r>
              <w:rPr>
                <w:rFonts w:ascii="宋体" w:hAnsi="宋体" w:eastAsia="宋体" w:cs="宋体"/>
                <w:sz w:val="31"/>
                <w:szCs w:val="31"/>
              </w:rPr>
              <w:t>05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381" w:type="dxa"/>
            <w:vAlign w:val="top"/>
          </w:tcPr>
          <w:p>
            <w:pPr>
              <w:spacing w:before="92" w:line="220" w:lineRule="auto"/>
              <w:ind w:left="137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公务用车购置费</w:t>
            </w:r>
          </w:p>
        </w:tc>
        <w:tc>
          <w:tcPr>
            <w:tcW w:w="2156" w:type="dxa"/>
            <w:vAlign w:val="top"/>
          </w:tcPr>
          <w:p>
            <w:pPr>
              <w:spacing w:before="143" w:line="188" w:lineRule="auto"/>
              <w:ind w:left="43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0</w:t>
            </w:r>
          </w:p>
        </w:tc>
        <w:tc>
          <w:tcPr>
            <w:tcW w:w="2223" w:type="dxa"/>
            <w:vAlign w:val="top"/>
          </w:tcPr>
          <w:p>
            <w:pPr>
              <w:spacing w:before="142" w:line="190" w:lineRule="auto"/>
              <w:ind w:left="45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5"/>
                <w:sz w:val="31"/>
                <w:szCs w:val="31"/>
              </w:rPr>
              <w:t>1</w:t>
            </w:r>
            <w:r>
              <w:rPr>
                <w:rFonts w:ascii="宋体" w:hAnsi="宋体" w:eastAsia="宋体" w:cs="宋体"/>
                <w:spacing w:val="-4"/>
                <w:sz w:val="31"/>
                <w:szCs w:val="31"/>
              </w:rPr>
              <w:t>1.94</w:t>
            </w:r>
          </w:p>
        </w:tc>
      </w:tr>
    </w:tbl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before="101" w:line="339" w:lineRule="auto"/>
        <w:ind w:left="131" w:firstLine="626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二、20</w:t>
      </w:r>
      <w:r>
        <w:rPr>
          <w:rFonts w:ascii="黑体" w:hAnsi="黑体" w:eastAsia="黑体" w:cs="黑体"/>
          <w:spacing w:val="-2"/>
          <w:sz w:val="31"/>
          <w:szCs w:val="31"/>
        </w:rPr>
        <w:t>21 年度一般公共预算财政拨款“三公”经费支出情况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3"/>
          <w:sz w:val="31"/>
          <w:szCs w:val="31"/>
        </w:rPr>
        <w:t>说</w:t>
      </w:r>
      <w:r>
        <w:rPr>
          <w:rFonts w:ascii="黑体" w:hAnsi="黑体" w:eastAsia="黑体" w:cs="黑体"/>
          <w:spacing w:val="-2"/>
          <w:sz w:val="31"/>
          <w:szCs w:val="31"/>
        </w:rPr>
        <w:t>明</w:t>
      </w:r>
    </w:p>
    <w:p>
      <w:pPr>
        <w:spacing w:before="2" w:line="338" w:lineRule="auto"/>
        <w:ind w:left="135" w:right="4" w:firstLine="60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一般公共预算财政拨款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“三公”经费支出决算总体情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况说明</w:t>
      </w:r>
      <w:r>
        <w:rPr>
          <w:rFonts w:ascii="仿宋" w:hAnsi="仿宋" w:eastAsia="仿宋" w:cs="仿宋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</w:p>
    <w:p>
      <w:pPr>
        <w:spacing w:before="1" w:line="342" w:lineRule="auto"/>
        <w:ind w:left="133" w:right="2" w:firstLine="65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郎溪</w:t>
      </w:r>
      <w:r>
        <w:rPr>
          <w:rFonts w:ascii="仿宋" w:hAnsi="仿宋" w:eastAsia="仿宋" w:cs="仿宋"/>
          <w:spacing w:val="-5"/>
          <w:sz w:val="31"/>
          <w:szCs w:val="31"/>
        </w:rPr>
        <w:t>县</w:t>
      </w:r>
      <w:r>
        <w:rPr>
          <w:rFonts w:ascii="仿宋" w:hAnsi="仿宋" w:eastAsia="仿宋" w:cs="仿宋"/>
          <w:spacing w:val="-3"/>
          <w:sz w:val="31"/>
          <w:szCs w:val="31"/>
        </w:rPr>
        <w:t>纪委 2021 年度一般公共预算财政拨款 “三公”经费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支出预算为 16.7</w:t>
      </w:r>
      <w:r>
        <w:rPr>
          <w:rFonts w:ascii="仿宋" w:hAnsi="仿宋" w:eastAsia="仿宋" w:cs="仿宋"/>
          <w:spacing w:val="2"/>
          <w:sz w:val="31"/>
          <w:szCs w:val="31"/>
        </w:rPr>
        <w:t>6 万元，支出决算为 28.22 万元，完成预算的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1</w:t>
      </w:r>
      <w:r>
        <w:rPr>
          <w:rFonts w:ascii="仿宋" w:hAnsi="仿宋" w:eastAsia="仿宋" w:cs="仿宋"/>
          <w:spacing w:val="-2"/>
          <w:sz w:val="31"/>
          <w:szCs w:val="31"/>
        </w:rPr>
        <w:t>68.68%，决算数大于预算数的主要原因是我委新购置一辆执法执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勤车辆</w:t>
      </w:r>
      <w:r>
        <w:rPr>
          <w:rFonts w:ascii="仿宋" w:hAnsi="仿宋" w:eastAsia="仿宋" w:cs="仿宋"/>
          <w:sz w:val="31"/>
          <w:szCs w:val="31"/>
        </w:rPr>
        <w:t>。</w:t>
      </w:r>
    </w:p>
    <w:p>
      <w:pPr>
        <w:jc w:val="both"/>
        <w:sectPr>
          <w:footerReference r:id="rId5" w:type="default"/>
          <w:pgSz w:w="11906" w:h="16839"/>
          <w:pgMar w:top="1431" w:right="1523" w:bottom="1873" w:left="1475" w:header="0" w:footer="1494" w:gutter="0"/>
          <w:cols w:space="720" w:num="1"/>
        </w:sectPr>
      </w:pPr>
    </w:p>
    <w:p>
      <w:pPr>
        <w:spacing w:line="248" w:lineRule="auto"/>
        <w:jc w:val="both"/>
        <w:rPr>
          <w:rFonts w:ascii="Arial"/>
          <w:sz w:val="21"/>
        </w:rPr>
      </w:pPr>
    </w:p>
    <w:p>
      <w:pPr>
        <w:spacing w:line="248" w:lineRule="auto"/>
        <w:jc w:val="both"/>
        <w:rPr>
          <w:rFonts w:ascii="Arial"/>
          <w:sz w:val="21"/>
        </w:rPr>
      </w:pPr>
    </w:p>
    <w:p>
      <w:pPr>
        <w:spacing w:line="248" w:lineRule="auto"/>
        <w:jc w:val="both"/>
        <w:rPr>
          <w:rFonts w:ascii="Arial"/>
          <w:sz w:val="21"/>
        </w:rPr>
      </w:pPr>
    </w:p>
    <w:p>
      <w:pPr>
        <w:spacing w:before="101" w:line="339" w:lineRule="auto"/>
        <w:ind w:left="12" w:right="155" w:firstLine="60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一般公共预算财政拨款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“三公”经费支出决算具体情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况说明</w:t>
      </w:r>
      <w:r>
        <w:rPr>
          <w:rFonts w:ascii="仿宋" w:hAnsi="仿宋" w:eastAsia="仿宋" w:cs="仿宋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</w:p>
    <w:p>
      <w:pPr>
        <w:spacing w:line="339" w:lineRule="auto"/>
        <w:ind w:right="152" w:firstLine="596" w:firstLineChars="20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郎溪</w:t>
      </w:r>
      <w:r>
        <w:rPr>
          <w:rFonts w:ascii="仿宋" w:hAnsi="仿宋" w:eastAsia="仿宋" w:cs="仿宋"/>
          <w:spacing w:val="-5"/>
          <w:sz w:val="31"/>
          <w:szCs w:val="31"/>
        </w:rPr>
        <w:t>县</w:t>
      </w:r>
      <w:r>
        <w:rPr>
          <w:rFonts w:ascii="仿宋" w:hAnsi="仿宋" w:eastAsia="仿宋" w:cs="仿宋"/>
          <w:spacing w:val="-3"/>
          <w:sz w:val="31"/>
          <w:szCs w:val="31"/>
        </w:rPr>
        <w:t>纪委2021年度一般公共预算财政拨款“三公”经费</w:t>
      </w:r>
      <w:r>
        <w:rPr>
          <w:rFonts w:ascii="仿宋" w:hAnsi="仿宋" w:eastAsia="仿宋" w:cs="仿宋"/>
          <w:spacing w:val="-6"/>
          <w:sz w:val="31"/>
          <w:szCs w:val="31"/>
        </w:rPr>
        <w:t>支出决算中，因公出国 (境) 费支出决算0万元</w:t>
      </w:r>
      <w:r>
        <w:rPr>
          <w:rFonts w:hint="eastAsia" w:ascii="仿宋" w:hAnsi="仿宋" w:eastAsia="仿宋" w:cs="仿宋"/>
          <w:spacing w:val="-6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-6"/>
          <w:sz w:val="31"/>
          <w:szCs w:val="31"/>
        </w:rPr>
        <w:t>占0%;公务</w:t>
      </w:r>
      <w:r>
        <w:rPr>
          <w:rFonts w:ascii="仿宋" w:hAnsi="仿宋" w:eastAsia="仿宋" w:cs="仿宋"/>
          <w:spacing w:val="-5"/>
          <w:sz w:val="31"/>
          <w:szCs w:val="31"/>
        </w:rPr>
        <w:t>接</w:t>
      </w:r>
      <w:r>
        <w:rPr>
          <w:rFonts w:ascii="仿宋" w:hAnsi="仿宋" w:eastAsia="仿宋" w:cs="仿宋"/>
          <w:spacing w:val="-6"/>
          <w:sz w:val="31"/>
          <w:szCs w:val="31"/>
        </w:rPr>
        <w:t>待费支出决算7.23万元</w:t>
      </w:r>
      <w:r>
        <w:rPr>
          <w:rFonts w:hint="eastAsia" w:ascii="仿宋" w:hAnsi="仿宋" w:eastAsia="仿宋" w:cs="仿宋"/>
          <w:spacing w:val="-6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-6"/>
          <w:sz w:val="31"/>
          <w:szCs w:val="31"/>
        </w:rPr>
        <w:t>占 25.62%；公务用车购置及运行</w:t>
      </w:r>
      <w:r>
        <w:rPr>
          <w:rFonts w:ascii="仿宋" w:hAnsi="仿宋" w:eastAsia="仿宋" w:cs="仿宋"/>
          <w:spacing w:val="-5"/>
          <w:sz w:val="31"/>
          <w:szCs w:val="31"/>
        </w:rPr>
        <w:t>维</w:t>
      </w:r>
      <w:r>
        <w:rPr>
          <w:rFonts w:ascii="仿宋" w:hAnsi="仿宋" w:eastAsia="仿宋" w:cs="仿宋"/>
          <w:sz w:val="31"/>
          <w:szCs w:val="31"/>
        </w:rPr>
        <w:t>护</w:t>
      </w:r>
      <w:r>
        <w:rPr>
          <w:rFonts w:ascii="仿宋" w:hAnsi="仿宋" w:eastAsia="仿宋" w:cs="仿宋"/>
          <w:spacing w:val="-18"/>
          <w:sz w:val="31"/>
          <w:szCs w:val="31"/>
        </w:rPr>
        <w:t>费支</w:t>
      </w:r>
      <w:r>
        <w:rPr>
          <w:rFonts w:ascii="仿宋" w:hAnsi="仿宋" w:eastAsia="仿宋" w:cs="仿宋"/>
          <w:spacing w:val="-10"/>
          <w:sz w:val="31"/>
          <w:szCs w:val="31"/>
        </w:rPr>
        <w:t>出</w:t>
      </w:r>
      <w:r>
        <w:rPr>
          <w:rFonts w:ascii="仿宋" w:hAnsi="仿宋" w:eastAsia="仿宋" w:cs="仿宋"/>
          <w:spacing w:val="-9"/>
          <w:sz w:val="31"/>
          <w:szCs w:val="31"/>
        </w:rPr>
        <w:t>决算20.99万元，占 74.38%。具体情况如下：</w:t>
      </w:r>
    </w:p>
    <w:p>
      <w:pPr>
        <w:spacing w:before="9" w:line="338" w:lineRule="auto"/>
        <w:ind w:right="63" w:firstLine="649"/>
        <w:jc w:val="both"/>
        <w:rPr>
          <w:rFonts w:ascii="仿宋" w:hAnsi="仿宋" w:eastAsia="仿宋" w:cs="仿宋"/>
          <w:spacing w:val="-6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1.因公出国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境)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费支出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0 万元，与 2021 年度预算相比无 变化，原因是郎溪县纪委 202</w:t>
      </w:r>
      <w:r>
        <w:rPr>
          <w:rFonts w:hint="eastAsia" w:ascii="仿宋" w:hAnsi="仿宋" w:eastAsia="仿宋" w:cs="仿宋"/>
          <w:spacing w:val="-6"/>
          <w:sz w:val="31"/>
          <w:szCs w:val="31"/>
          <w:lang w:val="en-US" w:eastAsia="zh-CN"/>
        </w:rPr>
        <w:t>1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 年未安排人员出国 (境 ) 。2021 年郎溪县纪委因公出国 (境) 团组 0 次，累计出国 (境) 0 人次</w:t>
      </w:r>
      <w:r>
        <w:rPr>
          <w:rFonts w:hint="eastAsia" w:ascii="仿宋" w:hAnsi="仿宋" w:eastAsia="仿宋" w:cs="仿宋"/>
          <w:spacing w:val="-6"/>
          <w:sz w:val="31"/>
          <w:szCs w:val="31"/>
          <w:lang w:eastAsia="zh-CN"/>
        </w:rPr>
        <w:t>。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 该项经费根据省外办批准的因公临时出国 (境) 计划，按照规定 标准安排。主要是用于因公出国境调研、考察费用。经费使用严 格按照《郎溪县县直党政机关因公临时出国经费管理办法》(财 行〔2015〕92号 ) </w:t>
      </w:r>
      <w:r>
        <w:rPr>
          <w:rFonts w:hint="eastAsia" w:ascii="仿宋" w:hAnsi="仿宋" w:eastAsia="仿宋" w:cs="仿宋"/>
          <w:spacing w:val="-6"/>
          <w:sz w:val="31"/>
          <w:szCs w:val="31"/>
          <w:lang w:eastAsia="zh-CN"/>
        </w:rPr>
        <w:t>、</w:t>
      </w:r>
      <w:r>
        <w:rPr>
          <w:rFonts w:ascii="仿宋" w:hAnsi="仿宋" w:eastAsia="仿宋" w:cs="仿宋"/>
          <w:spacing w:val="-6"/>
          <w:sz w:val="31"/>
          <w:szCs w:val="31"/>
        </w:rPr>
        <w:t>《郎溪县县直党政机关因公短期出国培训费 用管理办法》(财行〔2015〕96 号 ) 等相关规定执行。</w:t>
      </w:r>
    </w:p>
    <w:p>
      <w:pPr>
        <w:spacing w:before="9" w:line="338" w:lineRule="auto"/>
        <w:ind w:right="63" w:firstLine="649"/>
        <w:jc w:val="both"/>
        <w:rPr>
          <w:rFonts w:hint="eastAsia" w:ascii="仿宋" w:hAnsi="仿宋" w:eastAsia="仿宋" w:cs="仿宋"/>
          <w:spacing w:val="-6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2.公务接待费支出</w:t>
      </w:r>
      <w:r>
        <w:rPr>
          <w:rFonts w:ascii="仿宋" w:hAnsi="仿宋" w:eastAsia="仿宋" w:cs="仿宋"/>
          <w:spacing w:val="-6"/>
          <w:sz w:val="31"/>
          <w:szCs w:val="31"/>
        </w:rPr>
        <w:t>7.23万元, 与2021年度预算相比，减少 0.43 万元，下降 5.61%</w:t>
      </w:r>
      <w:r>
        <w:rPr>
          <w:rFonts w:hint="eastAsia" w:ascii="仿宋" w:hAnsi="仿宋" w:eastAsia="仿宋" w:cs="仿宋"/>
          <w:spacing w:val="-6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-6"/>
          <w:sz w:val="31"/>
          <w:szCs w:val="31"/>
        </w:rPr>
        <w:t>下降的原因是</w:t>
      </w:r>
      <w:bookmarkStart w:id="0" w:name="_GoBack"/>
      <w:r>
        <w:rPr>
          <w:rFonts w:ascii="仿宋" w:hAnsi="仿宋" w:eastAsia="仿宋" w:cs="仿宋"/>
          <w:spacing w:val="-6"/>
          <w:sz w:val="31"/>
          <w:szCs w:val="31"/>
        </w:rPr>
        <w:t>我委进一步厉行节约</w:t>
      </w:r>
      <w:r>
        <w:rPr>
          <w:rFonts w:hint="eastAsia" w:ascii="仿宋" w:hAnsi="仿宋" w:eastAsia="仿宋" w:cs="仿宋"/>
          <w:spacing w:val="-6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-6"/>
          <w:sz w:val="31"/>
          <w:szCs w:val="31"/>
        </w:rPr>
        <w:t>减少公务接待批次和人次</w:t>
      </w:r>
      <w:bookmarkEnd w:id="0"/>
      <w:r>
        <w:rPr>
          <w:rFonts w:ascii="仿宋" w:hAnsi="仿宋" w:eastAsia="仿宋" w:cs="仿宋"/>
          <w:spacing w:val="-6"/>
          <w:sz w:val="31"/>
          <w:szCs w:val="31"/>
        </w:rPr>
        <w:t>。2021 年安徽省郎溪县纪委国内公务接待共 70 批次 (其中外事接待0批次) ，710 人次 (其中外事接待0人次) 。主要是用于主要用于接待上级、省市单位业务指导和 工作调研等公务往来支出。</w:t>
      </w:r>
      <w:r>
        <w:rPr>
          <w:rFonts w:hint="eastAsia" w:ascii="仿宋" w:hAnsi="仿宋" w:eastAsia="仿宋" w:cs="仿宋"/>
          <w:spacing w:val="-6"/>
          <w:sz w:val="31"/>
          <w:szCs w:val="31"/>
        </w:rPr>
        <w:t>经费使用严格执行贯彻党中央“八项规定”和省委省政府 30 条要求、《党政机关厉行节约反对浪费条例》</w:t>
      </w:r>
      <w:r>
        <w:rPr>
          <w:rFonts w:hint="eastAsia" w:ascii="仿宋" w:hAnsi="仿宋" w:eastAsia="仿宋" w:cs="仿宋"/>
          <w:spacing w:val="-6"/>
          <w:sz w:val="31"/>
          <w:szCs w:val="31"/>
          <w:lang w:eastAsia="zh-CN"/>
        </w:rPr>
        <w:t>、</w:t>
      </w:r>
      <w:r>
        <w:rPr>
          <w:rFonts w:hint="eastAsia" w:ascii="仿宋" w:hAnsi="仿宋" w:eastAsia="仿宋" w:cs="仿宋"/>
          <w:spacing w:val="-6"/>
          <w:sz w:val="31"/>
          <w:szCs w:val="31"/>
        </w:rPr>
        <w:t>《郎溪县县直单位接待经费管理暂行办法》（财行〔2013〕199 号）、《郎溪县国内公务接待管理办法》（办〔2015〕70号）等相关规定。</w:t>
      </w:r>
    </w:p>
    <w:p>
      <w:pPr>
        <w:spacing w:before="9" w:line="338" w:lineRule="auto"/>
        <w:ind w:right="63" w:firstLine="649"/>
        <w:jc w:val="both"/>
        <w:rPr>
          <w:rFonts w:hint="eastAsia" w:ascii="仿宋" w:hAnsi="仿宋" w:eastAsia="仿宋" w:cs="仿宋"/>
          <w:spacing w:val="-6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3.公务用车购置及运行维护费支出 </w:t>
      </w:r>
      <w:r>
        <w:rPr>
          <w:rFonts w:hint="eastAsia" w:ascii="仿宋" w:hAnsi="仿宋" w:eastAsia="仿宋" w:cs="仿宋"/>
          <w:spacing w:val="-6"/>
          <w:sz w:val="31"/>
          <w:szCs w:val="31"/>
        </w:rPr>
        <w:t>20.99 万元，与 2021 年 度预算相比，增加11.89万元，增长130.66%，增长的原因是我委一辆执法执勤车辆老化、安全性能较差</w:t>
      </w:r>
      <w:r>
        <w:rPr>
          <w:rFonts w:hint="eastAsia" w:ascii="仿宋" w:hAnsi="仿宋" w:eastAsia="仿宋" w:cs="仿宋"/>
          <w:spacing w:val="-6"/>
          <w:sz w:val="31"/>
          <w:szCs w:val="31"/>
          <w:lang w:eastAsia="zh-CN"/>
        </w:rPr>
        <w:t>，</w:t>
      </w:r>
      <w:r>
        <w:rPr>
          <w:rFonts w:hint="eastAsia" w:ascii="仿宋" w:hAnsi="仿宋" w:eastAsia="仿宋" w:cs="仿宋"/>
          <w:spacing w:val="-6"/>
          <w:sz w:val="31"/>
          <w:szCs w:val="31"/>
        </w:rPr>
        <w:t>为保障执勤执法工作正常开展，我委新购置一辆执法执勤车辆。其中，公务用车购置费11.94万元，与2021年度预算相比，增加11.94万元，增长100%</w:t>
      </w:r>
      <w:r>
        <w:rPr>
          <w:rFonts w:hint="eastAsia" w:ascii="仿宋" w:hAnsi="仿宋" w:eastAsia="仿宋" w:cs="仿宋"/>
          <w:spacing w:val="-6"/>
          <w:sz w:val="31"/>
          <w:szCs w:val="31"/>
          <w:lang w:eastAsia="zh-CN"/>
        </w:rPr>
        <w:t>，</w:t>
      </w:r>
      <w:r>
        <w:rPr>
          <w:rFonts w:hint="eastAsia" w:ascii="仿宋" w:hAnsi="仿宋" w:eastAsia="仿宋" w:cs="仿宋"/>
          <w:spacing w:val="-6"/>
          <w:sz w:val="31"/>
          <w:szCs w:val="31"/>
        </w:rPr>
        <w:t>增长的原因是我委一辆执法执勤车辆老化、安全性能较差，为保障执勤执法工作正常开展，2021年购置公务用车1辆</w:t>
      </w:r>
      <w:r>
        <w:rPr>
          <w:rFonts w:hint="eastAsia" w:ascii="仿宋" w:hAnsi="仿宋" w:eastAsia="仿宋" w:cs="仿宋"/>
          <w:spacing w:val="-6"/>
          <w:sz w:val="31"/>
          <w:szCs w:val="31"/>
          <w:lang w:eastAsia="zh-CN"/>
        </w:rPr>
        <w:t>。</w:t>
      </w:r>
      <w:r>
        <w:rPr>
          <w:rFonts w:hint="eastAsia" w:ascii="仿宋" w:hAnsi="仿宋" w:eastAsia="仿宋" w:cs="仿宋"/>
          <w:spacing w:val="-6"/>
          <w:sz w:val="31"/>
          <w:szCs w:val="31"/>
        </w:rPr>
        <w:t>公务用车运行维护费9.05万元，与2021年度预算相比，减少0.05万元，下降0.55%</w:t>
      </w:r>
      <w:r>
        <w:rPr>
          <w:rFonts w:hint="eastAsia" w:ascii="仿宋" w:hAnsi="仿宋" w:eastAsia="仿宋" w:cs="仿宋"/>
          <w:spacing w:val="-6"/>
          <w:sz w:val="31"/>
          <w:szCs w:val="31"/>
          <w:lang w:eastAsia="zh-CN"/>
        </w:rPr>
        <w:t>，</w:t>
      </w:r>
      <w:r>
        <w:rPr>
          <w:rFonts w:hint="eastAsia" w:ascii="仿宋" w:hAnsi="仿宋" w:eastAsia="仿宋" w:cs="仿宋"/>
          <w:spacing w:val="-6"/>
          <w:sz w:val="31"/>
          <w:szCs w:val="31"/>
        </w:rPr>
        <w:t>下降的原因是是我委厉行节约，压缩公务用车运行费用。公务用车运行维护费</w:t>
      </w:r>
      <w:r>
        <w:rPr>
          <w:rFonts w:hint="eastAsia" w:ascii="仿宋" w:hAnsi="仿宋" w:eastAsia="仿宋" w:cs="仿宋"/>
          <w:spacing w:val="-6"/>
          <w:sz w:val="31"/>
          <w:szCs w:val="31"/>
          <w:lang w:eastAsia="zh-CN"/>
        </w:rPr>
        <w:t>，</w:t>
      </w:r>
      <w:r>
        <w:rPr>
          <w:rFonts w:hint="eastAsia" w:ascii="仿宋" w:hAnsi="仿宋" w:eastAsia="仿宋" w:cs="仿宋"/>
          <w:spacing w:val="-6"/>
          <w:sz w:val="31"/>
          <w:szCs w:val="31"/>
        </w:rPr>
        <w:t>包括车辆燃料费、维修费、过路费、保险费等支出，主要用于保障日常公务、监督检查、政策调研等需要。截至 2021年 12月31日，郎溪县纪委机关开支财政拨款的公务用车保有量为4辆</w:t>
      </w:r>
      <w:r>
        <w:rPr>
          <w:rFonts w:hint="eastAsia" w:ascii="仿宋" w:hAnsi="仿宋" w:eastAsia="仿宋" w:cs="仿宋"/>
          <w:spacing w:val="-6"/>
          <w:sz w:val="31"/>
          <w:szCs w:val="31"/>
          <w:lang w:eastAsia="zh-CN"/>
        </w:rPr>
        <w:t>。</w:t>
      </w:r>
    </w:p>
    <w:sectPr>
      <w:footerReference r:id="rId6" w:type="default"/>
      <w:pgSz w:w="11906" w:h="16839"/>
      <w:pgMar w:top="1431" w:right="1373" w:bottom="1873" w:left="1597" w:header="0" w:footer="14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8" w:lineRule="exact"/>
      <w:ind w:right="5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4"/>
        <w:position w:val="2"/>
        <w:sz w:val="28"/>
        <w:szCs w:val="28"/>
      </w:rPr>
      <w:t>-</w:t>
    </w:r>
    <w:r>
      <w:rPr>
        <w:rFonts w:ascii="仿宋" w:hAnsi="仿宋" w:eastAsia="仿宋" w:cs="仿宋"/>
        <w:spacing w:val="-2"/>
        <w:position w:val="2"/>
        <w:sz w:val="28"/>
        <w:szCs w:val="28"/>
      </w:rPr>
      <w:t>1-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8" w:lineRule="exact"/>
      <w:ind w:right="155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4"/>
        <w:position w:val="2"/>
        <w:sz w:val="28"/>
        <w:szCs w:val="28"/>
      </w:rPr>
      <w:t>-</w:t>
    </w:r>
    <w:r>
      <w:rPr>
        <w:rFonts w:ascii="仿宋" w:hAnsi="仿宋" w:eastAsia="仿宋" w:cs="仿宋"/>
        <w:spacing w:val="-2"/>
        <w:position w:val="2"/>
        <w:sz w:val="28"/>
        <w:szCs w:val="28"/>
      </w:rPr>
      <w:t>3-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U5ZGJhMmE3MWUxMmY3M2M2NGQ2N2E3ZWNkM2E5ODMifQ=="/>
  </w:docVars>
  <w:rsids>
    <w:rsidRoot w:val="00000000"/>
    <w:rsid w:val="0C005D20"/>
    <w:rsid w:val="275E28E8"/>
    <w:rsid w:val="4F2A4B4C"/>
    <w:rsid w:val="673659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1167</Words>
  <Characters>1341</Characters>
  <TotalTime>11</TotalTime>
  <ScaleCrop>false</ScaleCrop>
  <LinksUpToDate>false</LinksUpToDate>
  <CharactersWithSpaces>1439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2022-09-29T11:40:00Z</dcterms:created>
  <dc:creator>杨丽</dc:creator>
  <cp:lastModifiedBy>十早韦木鸟</cp:lastModifiedBy>
  <dcterms:modified xsi:type="dcterms:W3CDTF">2023-09-06T07:59:47Z</dcterms:modified>
  <dc:title>财〔2002〕号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2023-08-08T08:14:44Z</vt:filetime>
  </property>
  <property fmtid="{D5CDD505-2E9C-101B-9397-08002B2CF9AE}" pid="4" name="KSOProductBuildVer">
    <vt:lpwstr>2052-11.1.0.14309</vt:lpwstr>
  </property>
  <property fmtid="{D5CDD505-2E9C-101B-9397-08002B2CF9AE}" pid="5" name="ICV">
    <vt:lpwstr>3AECB6382BA24F9CB26C278FE46D4D4B_13</vt:lpwstr>
  </property>
</Properties>
</file>